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4B65E1CC" w:rsidR="007B4214" w:rsidRPr="00A4042B" w:rsidRDefault="00796017" w:rsidP="007457C5">
      <w:pPr>
        <w:jc w:val="center"/>
        <w:rPr>
          <w:rFonts w:ascii="Book Antiqua" w:hAnsi="Book Antiqua"/>
          <w:b/>
          <w:bCs/>
        </w:rPr>
      </w:pPr>
      <w:r w:rsidRPr="00A4042B">
        <w:rPr>
          <w:rFonts w:ascii="Book Antiqua" w:hAnsi="Book Antiqua"/>
          <w:b/>
          <w:bCs/>
        </w:rPr>
        <w:t>Progettazione Multimediale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6253CE" w:rsidRPr="00A4042B" w14:paraId="0A2D096F" w14:textId="77777777" w:rsidTr="00AC2FB6">
        <w:tc>
          <w:tcPr>
            <w:tcW w:w="9628" w:type="dxa"/>
            <w:gridSpan w:val="2"/>
          </w:tcPr>
          <w:p w14:paraId="5A6C5CB2" w14:textId="0BE5362E" w:rsidR="006253CE" w:rsidRPr="00A4042B" w:rsidRDefault="006253CE" w:rsidP="00796017">
            <w:pPr>
              <w:spacing w:before="240"/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Classe: 5D</w:t>
            </w:r>
          </w:p>
        </w:tc>
      </w:tr>
      <w:tr w:rsidR="00312A26" w:rsidRPr="00A4042B" w14:paraId="583F95B1" w14:textId="77777777" w:rsidTr="00AC43BC">
        <w:tc>
          <w:tcPr>
            <w:tcW w:w="9628" w:type="dxa"/>
            <w:gridSpan w:val="2"/>
          </w:tcPr>
          <w:p w14:paraId="75D234BA" w14:textId="72C3B99D" w:rsidR="00623647" w:rsidRPr="00A4042B" w:rsidRDefault="00312A26" w:rsidP="00B92C9C">
            <w:pPr>
              <w:spacing w:before="240"/>
              <w:ind w:hanging="120"/>
              <w:jc w:val="center"/>
              <w:rPr>
                <w:rFonts w:ascii="Book Antiqua" w:hAnsi="Book Antiqua" w:cstheme="minorHAnsi"/>
              </w:rPr>
            </w:pPr>
            <w:r w:rsidRPr="00A4042B">
              <w:rPr>
                <w:rFonts w:ascii="Book Antiqua" w:hAnsi="Book Antiqua" w:cstheme="minorHAnsi"/>
              </w:rPr>
              <w:t>Libro di testo utilizzat</w:t>
            </w:r>
            <w:r w:rsidR="00623647" w:rsidRPr="00A4042B">
              <w:rPr>
                <w:rFonts w:ascii="Book Antiqua" w:hAnsi="Book Antiqua" w:cstheme="minorHAnsi"/>
              </w:rPr>
              <w:t>o</w:t>
            </w:r>
          </w:p>
          <w:p w14:paraId="08CB91D6" w14:textId="77777777" w:rsidR="00623647" w:rsidRPr="00A4042B" w:rsidRDefault="00623647" w:rsidP="00623647">
            <w:pPr>
              <w:jc w:val="center"/>
              <w:rPr>
                <w:rFonts w:ascii="Book Antiqua" w:hAnsi="Book Antiqua" w:cstheme="majorHAnsi"/>
              </w:rPr>
            </w:pPr>
            <w:r w:rsidRPr="00A4042B">
              <w:rPr>
                <w:rFonts w:ascii="Book Antiqua" w:hAnsi="Book Antiqua" w:cstheme="majorHAnsi"/>
              </w:rPr>
              <w:t xml:space="preserve">Competenze grafiche. </w:t>
            </w:r>
          </w:p>
          <w:p w14:paraId="040D9E3F" w14:textId="1C3DC56C" w:rsidR="006A286E" w:rsidRPr="00A4042B" w:rsidRDefault="00623647" w:rsidP="00623647">
            <w:pPr>
              <w:jc w:val="center"/>
              <w:rPr>
                <w:rFonts w:ascii="Book Antiqua" w:hAnsi="Book Antiqua" w:cstheme="majorHAnsi"/>
              </w:rPr>
            </w:pPr>
            <w:r w:rsidRPr="00A4042B">
              <w:rPr>
                <w:rFonts w:ascii="Book Antiqua" w:hAnsi="Book Antiqua" w:cstheme="majorHAnsi"/>
              </w:rPr>
              <w:t xml:space="preserve">Dall’immagine di prodotto alla comunicazione integrata - </w:t>
            </w:r>
            <w:proofErr w:type="spellStart"/>
            <w:r w:rsidRPr="00A4042B">
              <w:rPr>
                <w:rFonts w:ascii="Book Antiqua" w:hAnsi="Book Antiqua" w:cstheme="majorHAnsi"/>
              </w:rPr>
              <w:t>Clitt</w:t>
            </w:r>
            <w:proofErr w:type="spellEnd"/>
          </w:p>
          <w:p w14:paraId="197C7FCD" w14:textId="77777777" w:rsidR="006A286E" w:rsidRPr="00A4042B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A4042B" w14:paraId="1BB7FBE1" w14:textId="77777777" w:rsidTr="0011779E">
        <w:tc>
          <w:tcPr>
            <w:tcW w:w="9628" w:type="dxa"/>
            <w:gridSpan w:val="2"/>
          </w:tcPr>
          <w:p w14:paraId="37536AD4" w14:textId="232F1244" w:rsidR="00AE5257" w:rsidRPr="00A4042B" w:rsidRDefault="00AE5257" w:rsidP="00D43E48">
            <w:pPr>
              <w:spacing w:before="240"/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Competenze raggiunte</w:t>
            </w:r>
          </w:p>
          <w:p w14:paraId="1093D20D" w14:textId="36A175BD" w:rsidR="0001460A" w:rsidRPr="00A4042B" w:rsidRDefault="008B1194" w:rsidP="006B7147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</w:t>
            </w:r>
            <w:r w:rsidR="0001460A" w:rsidRPr="00A4042B">
              <w:rPr>
                <w:rFonts w:ascii="Book Antiqua" w:hAnsi="Book Antiqua" w:cstheme="majorHAnsi"/>
                <w:sz w:val="20"/>
                <w:szCs w:val="20"/>
              </w:rPr>
              <w:t>Autonomia e sviluppo di compiti di realtà assegnati per le varie aree di riferimento, attraverso l’utilizzo di software specifici.</w:t>
            </w:r>
          </w:p>
          <w:p w14:paraId="11EDE556" w14:textId="4D56FEB2" w:rsidR="0001460A" w:rsidRPr="00A4042B" w:rsidRDefault="008B1194" w:rsidP="006B7147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</w:t>
            </w:r>
            <w:r w:rsidR="0001460A" w:rsidRPr="00A4042B">
              <w:rPr>
                <w:rFonts w:ascii="Book Antiqua" w:hAnsi="Book Antiqua" w:cstheme="majorHAnsi"/>
                <w:sz w:val="20"/>
                <w:szCs w:val="20"/>
              </w:rPr>
              <w:t>Redigere relazioni tecniche e documentare le attività individuali e di gruppo relative a situazioni professionali.</w:t>
            </w:r>
          </w:p>
          <w:p w14:paraId="6E83D8F3" w14:textId="4B3BE226" w:rsidR="0001460A" w:rsidRPr="00A4042B" w:rsidRDefault="008B1194" w:rsidP="006B7147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</w:t>
            </w:r>
            <w:r w:rsidR="0001460A" w:rsidRPr="00A4042B">
              <w:rPr>
                <w:rFonts w:ascii="Book Antiqua" w:hAnsi="Book Antiqua" w:cstheme="majorHAnsi"/>
                <w:sz w:val="20"/>
                <w:szCs w:val="20"/>
              </w:rPr>
              <w:t>Competenze progettuali nella creazione di un sistema d’identità visiva e di un coefficiente visivo, fondamenti dell’identità della marca.</w:t>
            </w:r>
          </w:p>
          <w:p w14:paraId="5326D1C5" w14:textId="3F79CD26" w:rsidR="0001460A" w:rsidRPr="00A4042B" w:rsidRDefault="008B1194" w:rsidP="006B7147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</w:t>
            </w:r>
            <w:r w:rsidR="0001460A" w:rsidRPr="00A4042B">
              <w:rPr>
                <w:rFonts w:ascii="Book Antiqua" w:hAnsi="Book Antiqua" w:cstheme="majorHAnsi"/>
                <w:sz w:val="20"/>
                <w:szCs w:val="20"/>
              </w:rPr>
              <w:t>Progettare e gestire la comunicazione grafica e multimediale attraverso l’uso di diversi supporti.</w:t>
            </w:r>
          </w:p>
          <w:p w14:paraId="33277F4C" w14:textId="033C6FC7" w:rsidR="006A286E" w:rsidRPr="00A4042B" w:rsidRDefault="008B1194" w:rsidP="00B13D6E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</w:t>
            </w:r>
            <w:r w:rsidR="0001460A" w:rsidRPr="00A4042B">
              <w:rPr>
                <w:rFonts w:ascii="Book Antiqua" w:hAnsi="Book Antiqua" w:cstheme="majorHAnsi"/>
                <w:sz w:val="20"/>
                <w:szCs w:val="20"/>
              </w:rPr>
              <w:t>Progettare, realizzare e pubblicare contenuti per il web.</w:t>
            </w:r>
          </w:p>
          <w:p w14:paraId="0D4B458D" w14:textId="77777777" w:rsidR="00AE5257" w:rsidRPr="00A4042B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A4042B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A4042B" w:rsidRDefault="006A286E" w:rsidP="00D43E48">
            <w:pPr>
              <w:spacing w:before="240"/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Competenze chiave di Cittadinanza</w:t>
            </w:r>
          </w:p>
          <w:p w14:paraId="3EC47D0E" w14:textId="052B33B5" w:rsidR="00F3738B" w:rsidRPr="00A4042B" w:rsidRDefault="008B1194" w:rsidP="00203C43">
            <w:pPr>
              <w:jc w:val="center"/>
              <w:rPr>
                <w:rFonts w:ascii="Book Antiqua" w:hAnsi="Book Antiqua" w:cstheme="majorHAnsi"/>
              </w:rPr>
            </w:pPr>
            <w:r w:rsidRPr="00A4042B">
              <w:rPr>
                <w:rFonts w:ascii="Book Antiqua" w:hAnsi="Book Antiqua" w:cstheme="majorHAnsi"/>
              </w:rPr>
              <w:t>Imparare ad imparare, Progettare, Comunicare, Collaborare e partecipare</w:t>
            </w:r>
            <w:r w:rsidR="00203C43" w:rsidRPr="00A4042B">
              <w:rPr>
                <w:rFonts w:ascii="Book Antiqua" w:hAnsi="Book Antiqua" w:cstheme="majorHAnsi"/>
              </w:rPr>
              <w:t>,</w:t>
            </w:r>
            <w:r w:rsidRPr="00A4042B">
              <w:rPr>
                <w:rFonts w:ascii="Book Antiqua" w:hAnsi="Book Antiqua" w:cstheme="majorHAnsi"/>
              </w:rPr>
              <w:t xml:space="preserve"> Agire in modo autonomo e responsabile</w:t>
            </w:r>
            <w:r w:rsidR="00203C43" w:rsidRPr="00A4042B">
              <w:rPr>
                <w:rFonts w:ascii="Book Antiqua" w:hAnsi="Book Antiqua" w:cstheme="majorHAnsi"/>
              </w:rPr>
              <w:t xml:space="preserve">, </w:t>
            </w:r>
            <w:r w:rsidRPr="00A4042B">
              <w:rPr>
                <w:rFonts w:ascii="Book Antiqua" w:hAnsi="Book Antiqua" w:cstheme="majorHAnsi"/>
              </w:rPr>
              <w:t>Risolvere problemi</w:t>
            </w:r>
            <w:r w:rsidR="00203C43" w:rsidRPr="00A4042B">
              <w:rPr>
                <w:rFonts w:ascii="Book Antiqua" w:hAnsi="Book Antiqua" w:cstheme="majorHAnsi"/>
              </w:rPr>
              <w:t xml:space="preserve">, </w:t>
            </w:r>
            <w:r w:rsidRPr="00A4042B">
              <w:rPr>
                <w:rFonts w:ascii="Book Antiqua" w:hAnsi="Book Antiqua" w:cstheme="majorHAnsi"/>
              </w:rPr>
              <w:t>Individuare collegamenti e relazioni</w:t>
            </w:r>
            <w:r w:rsidR="00203C43" w:rsidRPr="00A4042B">
              <w:rPr>
                <w:rFonts w:ascii="Book Antiqua" w:hAnsi="Book Antiqua" w:cstheme="majorHAnsi"/>
              </w:rPr>
              <w:t xml:space="preserve">, </w:t>
            </w:r>
            <w:r w:rsidRPr="00A4042B">
              <w:rPr>
                <w:rFonts w:ascii="Book Antiqua" w:hAnsi="Book Antiqua" w:cstheme="majorHAnsi"/>
              </w:rPr>
              <w:t>Acquisire e interpretare l’informazione</w:t>
            </w:r>
            <w:r w:rsidR="00203C43" w:rsidRPr="00A4042B">
              <w:rPr>
                <w:rFonts w:ascii="Book Antiqua" w:hAnsi="Book Antiqua" w:cstheme="majorHAnsi"/>
              </w:rPr>
              <w:t>.</w:t>
            </w:r>
          </w:p>
          <w:p w14:paraId="40BDBFEE" w14:textId="77777777" w:rsidR="006A286E" w:rsidRPr="00A4042B" w:rsidRDefault="006A286E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A4042B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A4042B" w:rsidRDefault="00AE5257" w:rsidP="00D43E48">
            <w:pPr>
              <w:spacing w:before="240"/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Abilità</w:t>
            </w:r>
          </w:p>
          <w:p w14:paraId="143E060E" w14:textId="5081BA27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- Analizzare le caratteristiche della comunicazione integrata, pianificando e sviluppando progetti di comunicazione integrata nel rispetto degli obiettivi della marca.</w:t>
            </w:r>
          </w:p>
          <w:p w14:paraId="2A7AFA0A" w14:textId="58AEF793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- Studio del target di riferimento e della copy strategy per la comunicazione di messaggi mirati in aderenza con l’identità della marca.</w:t>
            </w:r>
          </w:p>
          <w:p w14:paraId="4AD718E4" w14:textId="52E4E927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Riconoscere le diverse tipologie di architettura della marca. </w:t>
            </w:r>
          </w:p>
          <w:p w14:paraId="38E2B2B4" w14:textId="376E5730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- Autonomia nella valutazione delle azioni di restyling e rebranding partendo dall’analisi di un profilo aziendale. Esecuzione di un corretto e completo iter progettuale per la realizzazione di un marchio.</w:t>
            </w:r>
          </w:p>
          <w:p w14:paraId="6BEE6EFE" w14:textId="061EDBB5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- Progettazione delle linee guide applicative della marca sui diversi supporti di comunicazione.</w:t>
            </w:r>
          </w:p>
          <w:p w14:paraId="08DFF37E" w14:textId="4154B023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- Progettare il packaging cartotecnico, definendo la forma e le caratteristiche della fustellatura, e selezionare materiali e tipologie di etichettatura più adatti in base alla funzione del prodotto e agli obiettivi comunicativi del progetto.</w:t>
            </w:r>
          </w:p>
          <w:p w14:paraId="7A982E80" w14:textId="42FD4229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Presentazione e valorizzazione dei progetti di confezionamento attraverso </w:t>
            </w:r>
            <w:proofErr w:type="spellStart"/>
            <w:r w:rsidRPr="00A4042B">
              <w:rPr>
                <w:rFonts w:ascii="Book Antiqua" w:hAnsi="Book Antiqua" w:cstheme="majorHAnsi"/>
                <w:sz w:val="20"/>
                <w:szCs w:val="20"/>
              </w:rPr>
              <w:t>mock</w:t>
            </w:r>
            <w:proofErr w:type="spellEnd"/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-up e ambientazioni coerenti con il progetto e le strategie annesse. </w:t>
            </w:r>
          </w:p>
          <w:p w14:paraId="3B3CDAE3" w14:textId="0A4262DE" w:rsidR="0009013C" w:rsidRPr="00A4042B" w:rsidRDefault="0009013C" w:rsidP="0009013C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- Prototipazione pagine di un sito web, dalla flowchart al </w:t>
            </w:r>
            <w:proofErr w:type="spellStart"/>
            <w:r w:rsidRPr="00A4042B">
              <w:rPr>
                <w:rFonts w:ascii="Book Antiqua" w:hAnsi="Book Antiqua" w:cstheme="majorHAnsi"/>
                <w:sz w:val="20"/>
                <w:szCs w:val="20"/>
              </w:rPr>
              <w:t>prototyping</w:t>
            </w:r>
            <w:proofErr w:type="spellEnd"/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 di interfacce attraverso i software settoriali.</w:t>
            </w:r>
          </w:p>
          <w:p w14:paraId="45BF4671" w14:textId="77777777" w:rsidR="00AE5257" w:rsidRPr="00A4042B" w:rsidRDefault="0009013C" w:rsidP="00B13D6E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Organizzare il progetto per sviluppare brand storytelling, utilizzando strumenti e canali di comunicazione adeguati </w:t>
            </w:r>
            <w:proofErr w:type="gramStart"/>
            <w:r w:rsidRPr="00A4042B">
              <w:rPr>
                <w:rFonts w:ascii="Book Antiqua" w:hAnsi="Book Antiqua" w:cstheme="majorHAnsi"/>
                <w:sz w:val="20"/>
                <w:szCs w:val="20"/>
              </w:rPr>
              <w:t>per</w:t>
            </w:r>
            <w:proofErr w:type="gramEnd"/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 raggiungere gli obiettivi strategici prefissati.</w:t>
            </w:r>
          </w:p>
          <w:p w14:paraId="3FD00100" w14:textId="4966F159" w:rsidR="00B13D6E" w:rsidRPr="00A4042B" w:rsidRDefault="00B13D6E" w:rsidP="00B13D6E">
            <w:pPr>
              <w:rPr>
                <w:rFonts w:ascii="Book Antiqua" w:hAnsi="Book Antiqua" w:cstheme="majorHAnsi"/>
                <w:sz w:val="20"/>
                <w:szCs w:val="20"/>
              </w:rPr>
            </w:pPr>
          </w:p>
        </w:tc>
      </w:tr>
      <w:tr w:rsidR="007457C5" w:rsidRPr="00A4042B" w14:paraId="78D9DD46" w14:textId="77777777" w:rsidTr="004D2DB9">
        <w:trPr>
          <w:trHeight w:val="569"/>
        </w:trPr>
        <w:tc>
          <w:tcPr>
            <w:tcW w:w="3256" w:type="dxa"/>
          </w:tcPr>
          <w:p w14:paraId="3DF9ABDC" w14:textId="1CE6B1A1" w:rsidR="006A286E" w:rsidRPr="00A4042B" w:rsidRDefault="00030CA0" w:rsidP="00AE5257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A4042B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6372" w:type="dxa"/>
          </w:tcPr>
          <w:p w14:paraId="58DEDD3A" w14:textId="77777777" w:rsidR="007457C5" w:rsidRPr="00A4042B" w:rsidRDefault="00F3738B" w:rsidP="007457C5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A4042B" w14:paraId="0225FE38" w14:textId="77777777" w:rsidTr="004D2DB9">
        <w:trPr>
          <w:trHeight w:val="569"/>
        </w:trPr>
        <w:tc>
          <w:tcPr>
            <w:tcW w:w="3256" w:type="dxa"/>
          </w:tcPr>
          <w:p w14:paraId="504C0CD0" w14:textId="5A33C78E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Il processo creativo</w:t>
            </w:r>
          </w:p>
          <w:p w14:paraId="289190C5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127717F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Il Marketing</w:t>
            </w:r>
          </w:p>
          <w:p w14:paraId="5D6D0D71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2C8E3E6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3AB36EA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C5A4A74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2E2E8EA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E160AA4" w14:textId="77777777" w:rsidR="004D2DB9" w:rsidRPr="00A4042B" w:rsidRDefault="004D2DB9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0231EEF" w14:textId="77777777" w:rsidR="008B1194" w:rsidRPr="00A4042B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06ED7BA" w14:textId="6166B5C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lastRenderedPageBreak/>
              <w:t xml:space="preserve">Inbound e </w:t>
            </w:r>
            <w:proofErr w:type="spellStart"/>
            <w:r w:rsidRPr="00A4042B">
              <w:rPr>
                <w:rFonts w:ascii="Book Antiqua" w:hAnsi="Book Antiqua"/>
                <w:sz w:val="20"/>
                <w:szCs w:val="20"/>
              </w:rPr>
              <w:t>outbound</w:t>
            </w:r>
            <w:proofErr w:type="spellEnd"/>
            <w:r w:rsidRPr="00A4042B">
              <w:rPr>
                <w:rFonts w:ascii="Book Antiqua" w:hAnsi="Book Antiqua"/>
                <w:sz w:val="20"/>
                <w:szCs w:val="20"/>
              </w:rPr>
              <w:t xml:space="preserve"> advertisi</w:t>
            </w:r>
            <w:r w:rsidR="004D2DB9" w:rsidRPr="00A4042B">
              <w:rPr>
                <w:rFonts w:ascii="Book Antiqua" w:hAnsi="Book Antiqua"/>
                <w:sz w:val="20"/>
                <w:szCs w:val="20"/>
              </w:rPr>
              <w:t>ng</w:t>
            </w:r>
          </w:p>
          <w:p w14:paraId="6BCBB309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1D04AE6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C9AE30D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CCD0AB1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626D7EC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A618D3D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A79BEDE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EBA8E5F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C33B3FC" w14:textId="77777777" w:rsidR="00B92C9C" w:rsidRPr="00A4042B" w:rsidRDefault="00B92C9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8B427DE" w14:textId="77777777" w:rsidR="00B92C9C" w:rsidRPr="00A4042B" w:rsidRDefault="00B92C9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59945C9" w14:textId="452AD63F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Marketing Esper</w:t>
            </w:r>
            <w:r w:rsidR="004744D8" w:rsidRPr="00A4042B">
              <w:rPr>
                <w:rFonts w:ascii="Book Antiqua" w:hAnsi="Book Antiqua"/>
                <w:sz w:val="20"/>
                <w:szCs w:val="20"/>
              </w:rPr>
              <w:t>i</w:t>
            </w:r>
            <w:r w:rsidRPr="00A4042B">
              <w:rPr>
                <w:rFonts w:ascii="Book Antiqua" w:hAnsi="Book Antiqua"/>
                <w:sz w:val="20"/>
                <w:szCs w:val="20"/>
              </w:rPr>
              <w:t>enziale</w:t>
            </w:r>
          </w:p>
          <w:p w14:paraId="5D9A5BBB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B717212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5EAAC28" w14:textId="561C7E99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La pubblicità</w:t>
            </w:r>
          </w:p>
          <w:p w14:paraId="477F7971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A09F614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C542834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776CC4E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F445C87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2F7C700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6E9ED72" w14:textId="77777777" w:rsidR="0009013C" w:rsidRPr="00A4042B" w:rsidRDefault="0009013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0FFA431" w14:textId="77777777" w:rsidR="00B92C9C" w:rsidRPr="00A4042B" w:rsidRDefault="00B92C9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7F5FFBA" w14:textId="77777777" w:rsidR="004744D8" w:rsidRPr="00A4042B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F150A64" w14:textId="7699F901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La comunicazione pubblicitaria: Tipologie e finalità</w:t>
            </w:r>
          </w:p>
          <w:p w14:paraId="4E1121D1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8E68AB5" w14:textId="77777777" w:rsidR="008B1194" w:rsidRPr="00A4042B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944B97C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Il piano integrato di comunicazione</w:t>
            </w:r>
          </w:p>
          <w:p w14:paraId="2D94D2A0" w14:textId="77777777" w:rsidR="008B1194" w:rsidRPr="00A4042B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A9D5F4E" w14:textId="77777777" w:rsidR="0009013C" w:rsidRPr="00A4042B" w:rsidRDefault="0009013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AB8C9B9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Logo design</w:t>
            </w:r>
          </w:p>
          <w:p w14:paraId="6927E36C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8F320C8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F51EAC7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3F6D97F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9CF7A51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3D0A5E9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972E258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AB1319F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F0990C3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79F8B5A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BC3679E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A8E6ED5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5364746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195F631" w14:textId="77777777" w:rsidR="0009013C" w:rsidRPr="00A4042B" w:rsidRDefault="0009013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862B255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DDC8454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7F12D63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F348BED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Processo di progettazione di un sito web</w:t>
            </w:r>
          </w:p>
          <w:p w14:paraId="71A6ABE4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882C884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5B53AB8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04972D1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6449638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53A84BD" w14:textId="77777777" w:rsidR="008B1194" w:rsidRPr="00A4042B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CDA1F53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1756AF4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CCF0E24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851114F" w14:textId="77777777" w:rsidR="00107FA5" w:rsidRPr="00A4042B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Il packaging</w:t>
            </w:r>
          </w:p>
          <w:p w14:paraId="7C6174D4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69F3C70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23D1777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6F628D9" w14:textId="77777777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4EAE0CF" w14:textId="77777777" w:rsidR="005E7979" w:rsidRPr="00A4042B" w:rsidRDefault="005E7979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BF576A8" w14:textId="77777777" w:rsidR="00B92C9C" w:rsidRPr="00A4042B" w:rsidRDefault="00B92C9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90AB326" w14:textId="0716C478" w:rsidR="00E77434" w:rsidRPr="00A4042B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A4042B">
              <w:rPr>
                <w:rFonts w:ascii="Book Antiqua" w:hAnsi="Book Antiqua"/>
                <w:sz w:val="20"/>
                <w:szCs w:val="20"/>
              </w:rPr>
              <w:t>Conoscenza e utilizzo dei principali software di settore:</w:t>
            </w:r>
          </w:p>
        </w:tc>
        <w:tc>
          <w:tcPr>
            <w:tcW w:w="6372" w:type="dxa"/>
          </w:tcPr>
          <w:p w14:paraId="72186F56" w14:textId="3314C74D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lastRenderedPageBreak/>
              <w:t>Definizione del problema e della strategia. Ideazione del concept. Esecutivi e consegna.</w:t>
            </w:r>
          </w:p>
          <w:p w14:paraId="4EDEA517" w14:textId="60348734" w:rsidR="00107FA5" w:rsidRPr="00A4042B" w:rsidRDefault="00107FA5" w:rsidP="008B1194">
            <w:pPr>
              <w:ind w:hanging="15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Formulazione Brand Positioning Statement.</w:t>
            </w:r>
          </w:p>
          <w:p w14:paraId="415BCAAF" w14:textId="77777777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20"/>
                <w:szCs w:val="20"/>
              </w:rPr>
            </w:pPr>
          </w:p>
          <w:p w14:paraId="30F2E081" w14:textId="41E993D8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McCarthy e il Marketing, scopi del MKTG, concetti di Massimizzazione e Ottimizzazione, le 4P del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Mktg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mix, il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Mktg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Mix dei Servizi (7P), Marketing Relazionale e Marketing Transazionale.</w:t>
            </w:r>
          </w:p>
          <w:p w14:paraId="709B8BDA" w14:textId="14B9818D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Dalle 4P alle 4C. (Casi studio: nel mulino che vorrei).</w:t>
            </w:r>
          </w:p>
          <w:p w14:paraId="21BBBD6A" w14:textId="1356D1E4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Marketing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Funnel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. Il modello AIDA. Considerazioni sul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mktg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digitale. Le 5A di Philip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Kotler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.</w:t>
            </w:r>
          </w:p>
          <w:p w14:paraId="4D555333" w14:textId="250BF236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 xml:space="preserve">Outbound Mktg e Inbound Mktg. 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Sviluppo di una campagna inbound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mktg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.</w:t>
            </w:r>
          </w:p>
          <w:p w14:paraId="5D65B1F4" w14:textId="77777777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>Engagement (app e customer engagement, CRM, Gamification).</w:t>
            </w:r>
          </w:p>
          <w:p w14:paraId="2168C319" w14:textId="77777777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lastRenderedPageBreak/>
              <w:t xml:space="preserve">(Casi studio: il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content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mktg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di Esselunga).</w:t>
            </w:r>
          </w:p>
          <w:p w14:paraId="5B4D44B9" w14:textId="77777777" w:rsidR="00D43E48" w:rsidRPr="00A4042B" w:rsidRDefault="00D43E48" w:rsidP="00107FA5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</w:p>
          <w:p w14:paraId="24F68943" w14:textId="5FBC7123" w:rsidR="00107FA5" w:rsidRPr="00A4042B" w:rsidRDefault="00107FA5" w:rsidP="00B92C9C">
            <w:pPr>
              <w:snapToGrid w:val="0"/>
              <w:spacing w:before="24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ATL, BTL e TTL.</w:t>
            </w:r>
          </w:p>
          <w:p w14:paraId="20FC8DC2" w14:textId="77777777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comunicazione ATL:</w:t>
            </w:r>
          </w:p>
          <w:p w14:paraId="1C92B4D6" w14:textId="2336F249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La stampa (quotidiani, magazine e periodici);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e affissioni (outdoor advertising, indoor advertising,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transit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advertising);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i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 cinema: la pubblicità cinematografica (spot, trailers, product placement);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a radio (pubblicità radiofonia: tabellare, non tabellare);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a televisione (spot, promo,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billboard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, split screen, pubblicità interattiva, pubblicità virtuale, product placement). Telepromozioni, televendite, prime time e day time.</w:t>
            </w:r>
          </w:p>
          <w:p w14:paraId="43303535" w14:textId="77777777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comunicazione BTL:</w:t>
            </w:r>
          </w:p>
          <w:p w14:paraId="02C21876" w14:textId="4128E241" w:rsidR="00107FA5" w:rsidRPr="00A4042B" w:rsidRDefault="00107FA5" w:rsidP="00107FA5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Il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direct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marketing (telemarketing,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direct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mail,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direct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response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advertising,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direct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marketing digitale);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e promozioni (sales e trade promotion);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e sponsorizzazioni;</w:t>
            </w:r>
            <w:r w:rsidR="004744D8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l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e pubbliche relazioni.</w:t>
            </w:r>
          </w:p>
          <w:p w14:paraId="453D3B38" w14:textId="642858B0" w:rsidR="009C1226" w:rsidRPr="00A4042B" w:rsidRDefault="00107FA5" w:rsidP="004744D8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comunicazione online.</w:t>
            </w:r>
          </w:p>
          <w:p w14:paraId="012AB5D6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</w:p>
          <w:p w14:paraId="4B5B6E2B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Campagne emozionali.</w:t>
            </w:r>
          </w:p>
          <w:p w14:paraId="0D9E3AB8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Marketing esperienziale nel punto vendita.</w:t>
            </w:r>
          </w:p>
          <w:p w14:paraId="0A3F692F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 xml:space="preserve">Marketing non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>convenzionale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 xml:space="preserve">: </w:t>
            </w:r>
          </w:p>
          <w:p w14:paraId="3DB2D65D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>Guerrilla Mktg, Street Mktg, stickering, viral mktg.</w:t>
            </w:r>
          </w:p>
          <w:p w14:paraId="30C128D1" w14:textId="77777777" w:rsidR="009C1226" w:rsidRPr="00A4042B" w:rsidRDefault="009C1226" w:rsidP="004744D8">
            <w:pPr>
              <w:rPr>
                <w:rFonts w:ascii="Book Antiqua" w:hAnsi="Book Antiqua" w:cstheme="majorHAnsi"/>
                <w:sz w:val="16"/>
                <w:szCs w:val="16"/>
                <w:lang w:val="en-GB"/>
              </w:rPr>
            </w:pPr>
          </w:p>
          <w:p w14:paraId="480C382F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Analisi e progettazione.</w:t>
            </w:r>
          </w:p>
          <w:p w14:paraId="17D43739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Creatività Pubblicitaria (annuncio,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radiocomunicato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, telecomunicato, manifesto, poster).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La campagna.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 xml:space="preserve">Anatomia Annuncio (Headline, Lead in, Sub-headline,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Bodycopy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, Baseline/payoff, Logo,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Caption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, Contatti, Strilli, Visual, Pack Shot, Call to action).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Differenza tra format e formato.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Tono di Voce.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Figure Retoriche (allegoria, metafora, metonimia e sineddoche, ironia, ossimoro e antitesi, personificazione, iperbole, sinestesia).</w:t>
            </w:r>
          </w:p>
          <w:p w14:paraId="00975107" w14:textId="435743F9" w:rsidR="004744D8" w:rsidRPr="00A4042B" w:rsidRDefault="004744D8" w:rsidP="004744D8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Figure Retoriche di suono (rima, allitterazione, onomatopea, climax).</w:t>
            </w:r>
          </w:p>
          <w:p w14:paraId="417758A8" w14:textId="77777777" w:rsidR="004744D8" w:rsidRPr="00A4042B" w:rsidRDefault="004744D8" w:rsidP="004744D8">
            <w:pPr>
              <w:rPr>
                <w:rFonts w:ascii="Book Antiqua" w:hAnsi="Book Antiqua" w:cstheme="majorHAnsi"/>
                <w:sz w:val="16"/>
                <w:szCs w:val="16"/>
              </w:rPr>
            </w:pPr>
          </w:p>
          <w:p w14:paraId="7D4796D7" w14:textId="77777777" w:rsidR="009C1226" w:rsidRPr="00A4042B" w:rsidRDefault="009C1226" w:rsidP="007457C5">
            <w:pPr>
              <w:jc w:val="center"/>
              <w:rPr>
                <w:rFonts w:ascii="Book Antiqua" w:hAnsi="Book Antiqua" w:cstheme="majorHAnsi"/>
                <w:sz w:val="16"/>
                <w:szCs w:val="16"/>
              </w:rPr>
            </w:pPr>
          </w:p>
          <w:p w14:paraId="01153E1C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pubblicità commerciale: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product, corporate advertising e brand advertising.</w:t>
            </w:r>
          </w:p>
          <w:p w14:paraId="26FC5D0A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pubblicità non commerciale: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advocacy advertising, propaganda politica, pubblicità pubblica e sociale.</w:t>
            </w:r>
          </w:p>
          <w:p w14:paraId="3E72A9CC" w14:textId="77777777" w:rsidR="00F3738B" w:rsidRPr="00A4042B" w:rsidRDefault="00F3738B" w:rsidP="004744D8">
            <w:pPr>
              <w:rPr>
                <w:rFonts w:ascii="Book Antiqua" w:hAnsi="Book Antiqua" w:cstheme="majorHAnsi"/>
              </w:rPr>
            </w:pPr>
          </w:p>
          <w:p w14:paraId="1052132C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Copy strategy. Analisi di alcuni esempi di copy strategy.</w:t>
            </w:r>
          </w:p>
          <w:p w14:paraId="37B63BE7" w14:textId="7777777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La promotion strategy.</w:t>
            </w:r>
          </w:p>
          <w:p w14:paraId="64118CC3" w14:textId="474AFB87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Il copy brief.</w:t>
            </w:r>
          </w:p>
          <w:p w14:paraId="4FE8BBF8" w14:textId="77777777" w:rsidR="00F3738B" w:rsidRPr="00A4042B" w:rsidRDefault="00F3738B" w:rsidP="004744D8">
            <w:pPr>
              <w:rPr>
                <w:rFonts w:ascii="Book Antiqua" w:hAnsi="Book Antiqua" w:cstheme="majorHAnsi"/>
              </w:rPr>
            </w:pPr>
          </w:p>
          <w:p w14:paraId="1AB0ED99" w14:textId="2CFF78E1" w:rsidR="004744D8" w:rsidRPr="00A4042B" w:rsidRDefault="004744D8" w:rsidP="004744D8">
            <w:pPr>
              <w:rPr>
                <w:rFonts w:ascii="Book Antiqua" w:hAnsi="Book Antiqua" w:cstheme="majorHAnsi"/>
                <w:b/>
                <w:b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sz w:val="16"/>
                <w:szCs w:val="16"/>
              </w:rPr>
              <w:t xml:space="preserve">- Il brand: </w:t>
            </w:r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>Marca e Marchio, Logotipo, Pay-off e Commodity.</w:t>
            </w:r>
          </w:p>
          <w:p w14:paraId="1097C48D" w14:textId="49893B81" w:rsidR="004744D8" w:rsidRPr="00A4042B" w:rsidRDefault="004744D8" w:rsidP="004744D8">
            <w:pPr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</w:pPr>
            <w:r w:rsidRPr="00A4042B">
              <w:rPr>
                <w:rFonts w:ascii="Book Antiqua" w:eastAsia="Times New Roman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  <w:lang w:eastAsia="it-IT"/>
              </w:rPr>
              <w:t>Il concetto di Branding</w:t>
            </w:r>
            <w:r w:rsidR="00E77434" w:rsidRPr="00A4042B">
              <w:rPr>
                <w:rFonts w:ascii="Book Antiqua" w:eastAsia="Times New Roman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  <w:lang w:eastAsia="it-IT"/>
              </w:rPr>
              <w:t>,</w:t>
            </w:r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 xml:space="preserve"> Branding Visibile e Invisibile,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>il passaggio da product-</w:t>
            </w:r>
            <w:proofErr w:type="spellStart"/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>oriented</w:t>
            </w:r>
            <w:proofErr w:type="spellEnd"/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 xml:space="preserve"> a brand-</w:t>
            </w:r>
            <w:proofErr w:type="spellStart"/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>oriented</w:t>
            </w:r>
            <w:proofErr w:type="spellEnd"/>
            <w:r w:rsidRPr="00A4042B">
              <w:rPr>
                <w:rFonts w:ascii="Book Antiqua" w:eastAsia="Times New Roman" w:hAnsi="Book Antiqua" w:cstheme="majorHAnsi"/>
                <w:color w:val="000000" w:themeColor="text1"/>
                <w:spacing w:val="3"/>
                <w:sz w:val="16"/>
                <w:szCs w:val="16"/>
                <w:lang w:eastAsia="it-IT"/>
              </w:rPr>
              <w:t>.</w:t>
            </w:r>
          </w:p>
          <w:p w14:paraId="4C059E58" w14:textId="42497782" w:rsidR="004744D8" w:rsidRPr="00A4042B" w:rsidRDefault="004744D8" w:rsidP="004744D8">
            <w:pPr>
              <w:snapToGrid w:val="0"/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- Brand Architecture</w:t>
            </w:r>
            <w:r w:rsidR="00E77434"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(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3 macro-modelli di identità): Modello Monolitico, Multiplo e Derivato.</w:t>
            </w:r>
          </w:p>
          <w:p w14:paraId="0394CFCC" w14:textId="2377661A" w:rsidR="004744D8" w:rsidRPr="00A4042B" w:rsidRDefault="004744D8" w:rsidP="004744D8">
            <w:pPr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- Classificazione dei marchi</w:t>
            </w:r>
            <w:r w:rsidR="00E77434"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: 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6 macro-aree formali per classificare i principali tipi di raffigurazione dei marchi</w:t>
            </w:r>
            <w:r w:rsidR="00E77434"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 xml:space="preserve"> (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monogramma, logotipo, logotipo figurato, marchio figurato, marchio astratto, marchio illustrato</w:t>
            </w:r>
            <w:r w:rsidR="00E77434"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)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 xml:space="preserve">. </w:t>
            </w:r>
          </w:p>
          <w:p w14:paraId="03DFA2E0" w14:textId="5A816556" w:rsidR="004744D8" w:rsidRPr="00A4042B" w:rsidRDefault="004744D8" w:rsidP="004744D8">
            <w:pPr>
              <w:shd w:val="clear" w:color="auto" w:fill="FFFFFF"/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- I 7 capitali del </w:t>
            </w:r>
            <w:proofErr w:type="spellStart"/>
            <w:proofErr w:type="gramStart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marchio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I</w:t>
            </w:r>
            <w:proofErr w:type="spellEnd"/>
            <w:proofErr w:type="gram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codici connotativi di un marchio:</w:t>
            </w:r>
            <w:r w:rsidR="00E77434"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Concept, Naming, Payoff, 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Logotype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, Colors, Symbol e Font.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5BC5E88E" w14:textId="394D3A08" w:rsidR="004744D8" w:rsidRPr="00A4042B" w:rsidRDefault="004744D8" w:rsidP="004744D8">
            <w:pPr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- Immagine coordinata.</w:t>
            </w:r>
            <w:r w:rsidR="00E77434"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Il sistema di identità visiva e il coefficiente visivo.</w:t>
            </w:r>
          </w:p>
          <w:p w14:paraId="527784D9" w14:textId="77777777" w:rsidR="004744D8" w:rsidRPr="00A4042B" w:rsidRDefault="004744D8" w:rsidP="004744D8">
            <w:pPr>
              <w:pStyle w:val="Default"/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Le sezioni del </w:t>
            </w:r>
            <w:proofErr w:type="spellStart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manual</w:t>
            </w:r>
            <w:proofErr w:type="spellEnd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 brand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: elementi base, modulistica, infografica e segnaletica.</w:t>
            </w:r>
          </w:p>
          <w:p w14:paraId="4E305CF0" w14:textId="77777777" w:rsidR="004744D8" w:rsidRPr="00A4042B" w:rsidRDefault="004744D8" w:rsidP="004744D8">
            <w:pPr>
              <w:pStyle w:val="Default"/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Restyling e Rebranding.</w:t>
            </w:r>
          </w:p>
          <w:p w14:paraId="306A3071" w14:textId="77777777" w:rsidR="004744D8" w:rsidRPr="00A4042B" w:rsidRDefault="004744D8" w:rsidP="004744D8">
            <w:pPr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Casi studio utili all’analisi dei manuali d’identità visiva: Pompei e Grom.</w:t>
            </w:r>
          </w:p>
          <w:p w14:paraId="74D11CF0" w14:textId="77777777" w:rsidR="004744D8" w:rsidRPr="00A4042B" w:rsidRDefault="004744D8" w:rsidP="004744D8">
            <w:pPr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Differenza con le terminologie di Brand Identity e Corporate Identity.</w:t>
            </w:r>
          </w:p>
          <w:p w14:paraId="155024BE" w14:textId="77777777" w:rsidR="004744D8" w:rsidRPr="00A4042B" w:rsidRDefault="004744D8" w:rsidP="004744D8">
            <w:pPr>
              <w:rPr>
                <w:rFonts w:ascii="Book Antiqua" w:hAnsi="Book Antiqua" w:cstheme="majorHAnsi"/>
                <w:i/>
                <w:i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i/>
                <w:iCs/>
                <w:sz w:val="16"/>
                <w:szCs w:val="16"/>
              </w:rPr>
              <w:t>Ulteriori manuali d’identità visiva forniti ai fini di studio e analisi:</w:t>
            </w:r>
          </w:p>
          <w:p w14:paraId="3E9E42BF" w14:textId="77777777" w:rsidR="004744D8" w:rsidRPr="00A4042B" w:rsidRDefault="004744D8" w:rsidP="004744D8">
            <w:pPr>
              <w:shd w:val="clear" w:color="auto" w:fill="FFFFFF"/>
              <w:rPr>
                <w:rFonts w:ascii="Book Antiqua" w:hAnsi="Book Antiqua" w:cstheme="majorHAnsi"/>
                <w:i/>
                <w:i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i/>
                <w:iCs/>
                <w:sz w:val="16"/>
                <w:szCs w:val="16"/>
              </w:rPr>
              <w:t>Scout inglesi, Tea, Slack, Microsoft, Comune Ascoli Piceno e Sesto Fiorentino, Università la Sapienza, Angelini, Fina.</w:t>
            </w:r>
          </w:p>
          <w:p w14:paraId="61741A18" w14:textId="5F231FEC" w:rsidR="004744D8" w:rsidRPr="00A4042B" w:rsidRDefault="004744D8" w:rsidP="004744D8">
            <w:pPr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>- Restyling e Rebranding</w:t>
            </w:r>
            <w:r w:rsidR="00E77434" w:rsidRPr="00A4042B">
              <w:rPr>
                <w:rFonts w:ascii="Book Antiqua" w:hAnsi="Book Antiqua" w:cstheme="majorHAnsi"/>
                <w:b/>
                <w:bCs/>
                <w:color w:val="000000" w:themeColor="text1"/>
                <w:sz w:val="16"/>
                <w:szCs w:val="16"/>
              </w:rPr>
              <w:t xml:space="preserve">: 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>Differenza tra restyling e rebranding in base alle necessità di intervento.</w:t>
            </w:r>
          </w:p>
          <w:p w14:paraId="2ABB5A38" w14:textId="3E19E42F" w:rsidR="004744D8" w:rsidRPr="00A4042B" w:rsidRDefault="004744D8" w:rsidP="004744D8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eastAsia="Times New Roman" w:hAnsi="Book Antiqua" w:cstheme="majorHAnsi"/>
                <w:i/>
                <w:iCs/>
                <w:color w:val="000000" w:themeColor="text1"/>
                <w:sz w:val="16"/>
                <w:szCs w:val="16"/>
                <w:lang w:eastAsia="it-IT"/>
              </w:rPr>
              <w:t>Analisi dei seguenti casi studio attraverso materiale audiovisivo: Intel, Burger King, Yamamay.</w:t>
            </w:r>
          </w:p>
          <w:p w14:paraId="2E7FF029" w14:textId="77777777" w:rsidR="00F3738B" w:rsidRPr="00A4042B" w:rsidRDefault="00F3738B" w:rsidP="007457C5">
            <w:pPr>
              <w:jc w:val="center"/>
              <w:rPr>
                <w:rFonts w:ascii="Book Antiqua" w:hAnsi="Book Antiqua" w:cstheme="majorHAnsi"/>
              </w:rPr>
            </w:pPr>
          </w:p>
          <w:p w14:paraId="6C545197" w14:textId="77777777" w:rsidR="00E77434" w:rsidRPr="00A4042B" w:rsidRDefault="00E77434" w:rsidP="00E77434">
            <w:pPr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</w:pP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Url, Indirizzo IP, https,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Json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 (connessione utente-server), www (sottodominio, dominio e dominio top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level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</w:rPr>
              <w:br/>
            </w:r>
            <w:proofErr w:type="spellStart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Struttura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 (header, sidebar, navigation, aside, body e footer).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lang w:val="en-US"/>
              </w:rPr>
              <w:br/>
            </w: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Gli </w:t>
            </w:r>
            <w:proofErr w:type="spellStart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elementi</w:t>
            </w:r>
            <w:proofErr w:type="spellEnd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 del </w:t>
            </w:r>
            <w:proofErr w:type="spellStart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sito</w:t>
            </w:r>
            <w:proofErr w:type="spellEnd"/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 web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 (links, forms, placeholder, CTA,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searchbar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icone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  <w:lang w:val="en-US"/>
              </w:rPr>
              <w:t>, cards).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lang w:val="en-US"/>
              </w:rPr>
              <w:br/>
            </w: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Tipografia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 (gestione del testo).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</w:rPr>
              <w:br/>
            </w: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I colori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 e le linee guida WCAG</w:t>
            </w:r>
            <w:r w:rsidRPr="00A4042B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 xml:space="preserve"> 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(Web Content Accessibility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Guidelines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).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</w:rPr>
              <w:br/>
            </w: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Il layout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 (la progettazione). La griglia, il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gutter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, margini e approccio mobile first.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</w:rPr>
              <w:br/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lastRenderedPageBreak/>
              <w:t>La Gestalt applicata al web design.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</w:rPr>
              <w:br/>
            </w:r>
            <w:r w:rsidRPr="00A4042B">
              <w:rPr>
                <w:rFonts w:ascii="Book Antiqua" w:hAnsi="Book Antiqua" w:cstheme="majorHAnsi"/>
                <w:b/>
                <w:b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Le fasi del processo creativo</w:t>
            </w:r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 (Brief e Analisi, Flowchart,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Wireframe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Mockup</w:t>
            </w:r>
            <w:proofErr w:type="spellEnd"/>
            <w:r w:rsidRPr="00A4042B"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  <w:t>).</w:t>
            </w:r>
          </w:p>
          <w:p w14:paraId="49C86F92" w14:textId="77777777" w:rsidR="009C1226" w:rsidRPr="00A4042B" w:rsidRDefault="009C1226" w:rsidP="00CD358A">
            <w:pPr>
              <w:rPr>
                <w:rFonts w:ascii="Book Antiqua" w:hAnsi="Book Antiqua" w:cstheme="majorHAnsi"/>
                <w:i/>
                <w:i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</w:pPr>
          </w:p>
          <w:p w14:paraId="5D64817B" w14:textId="77777777" w:rsidR="00CD358A" w:rsidRPr="00A4042B" w:rsidRDefault="00CD358A" w:rsidP="00CD358A">
            <w:pPr>
              <w:rPr>
                <w:rFonts w:ascii="Book Antiqua" w:hAnsi="Book Antiqua" w:cstheme="majorHAnsi"/>
                <w:i/>
                <w:i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</w:pPr>
          </w:p>
          <w:p w14:paraId="2BE9020C" w14:textId="77777777" w:rsidR="00CD358A" w:rsidRPr="00A4042B" w:rsidRDefault="00CD358A" w:rsidP="00CD358A">
            <w:pPr>
              <w:rPr>
                <w:rFonts w:ascii="Book Antiqua" w:hAnsi="Book Antiqua" w:cstheme="majorHAnsi"/>
                <w:i/>
                <w:iCs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</w:pPr>
          </w:p>
          <w:p w14:paraId="199B7018" w14:textId="77777777" w:rsidR="00CD358A" w:rsidRPr="00A4042B" w:rsidRDefault="00CD358A" w:rsidP="00CD358A">
            <w:pPr>
              <w:rPr>
                <w:rFonts w:ascii="Book Antiqua" w:hAnsi="Book Antiqua" w:cstheme="majorHAnsi"/>
              </w:rPr>
            </w:pPr>
          </w:p>
          <w:p w14:paraId="373706D9" w14:textId="6E5E6BF4" w:rsidR="00E77434" w:rsidRPr="00A4042B" w:rsidRDefault="00E77434" w:rsidP="00E77434">
            <w:pPr>
              <w:ind w:hanging="17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Le funzioni del packaging. Packaging e marketing. Tipologie di imballaggio e tipologie di materiali.</w:t>
            </w:r>
          </w:p>
          <w:p w14:paraId="28A22665" w14:textId="1E808639" w:rsidR="00E77434" w:rsidRPr="00A4042B" w:rsidRDefault="00E77434" w:rsidP="00E77434">
            <w:pPr>
              <w:ind w:hanging="17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Le informazioni obbligatorie. Packaging ecosostenibile. Le simbologie per il riciclo.</w:t>
            </w:r>
          </w:p>
          <w:p w14:paraId="6FA7A956" w14:textId="77777777" w:rsidR="00E77434" w:rsidRPr="00A4042B" w:rsidRDefault="00E77434" w:rsidP="00E77434">
            <w:pPr>
              <w:ind w:hanging="17"/>
              <w:rPr>
                <w:rFonts w:ascii="Book Antiqua" w:hAnsi="Book Antiqua" w:cstheme="majorHAnsi"/>
                <w:b/>
                <w:b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b/>
                <w:bCs/>
                <w:sz w:val="16"/>
                <w:szCs w:val="16"/>
              </w:rPr>
              <w:t xml:space="preserve">Le fasi del progetto. </w:t>
            </w:r>
          </w:p>
          <w:p w14:paraId="0E182E5F" w14:textId="77777777" w:rsidR="00E77434" w:rsidRPr="00A4042B" w:rsidRDefault="00E77434" w:rsidP="00E77434">
            <w:pPr>
              <w:ind w:hanging="17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Packaging tra forma e design: forma, colore, immagini, lettering.</w:t>
            </w:r>
          </w:p>
          <w:p w14:paraId="50B7BC2A" w14:textId="77777777" w:rsidR="00E77434" w:rsidRPr="00A4042B" w:rsidRDefault="00E77434" w:rsidP="00E77434">
            <w:pPr>
              <w:ind w:hanging="17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Il progetto del packaging cartotecnico. La fustellatura.</w:t>
            </w:r>
          </w:p>
          <w:p w14:paraId="296D1AC4" w14:textId="6D0EFBAB" w:rsidR="009C1226" w:rsidRPr="00A4042B" w:rsidRDefault="00E77434" w:rsidP="00E77434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Tipologie di etichetta: adesive, di carta </w:t>
            </w:r>
            <w:proofErr w:type="spellStart"/>
            <w:r w:rsidRPr="00A4042B">
              <w:rPr>
                <w:rFonts w:ascii="Book Antiqua" w:hAnsi="Book Antiqua" w:cstheme="majorHAnsi"/>
                <w:sz w:val="16"/>
                <w:szCs w:val="16"/>
              </w:rPr>
              <w:t>wrap-around</w:t>
            </w:r>
            <w:proofErr w:type="spellEnd"/>
            <w:r w:rsidRPr="00A4042B">
              <w:rPr>
                <w:rFonts w:ascii="Book Antiqua" w:hAnsi="Book Antiqua" w:cstheme="majorHAnsi"/>
                <w:sz w:val="16"/>
                <w:szCs w:val="16"/>
              </w:rPr>
              <w:t>, in pellicola, sleeve termoretraibile.</w:t>
            </w:r>
          </w:p>
          <w:p w14:paraId="59A8AC2A" w14:textId="77777777" w:rsidR="00F3738B" w:rsidRPr="00A4042B" w:rsidRDefault="00F3738B" w:rsidP="007457C5">
            <w:pPr>
              <w:jc w:val="center"/>
              <w:rPr>
                <w:rFonts w:ascii="Book Antiqua" w:hAnsi="Book Antiqua" w:cstheme="majorHAnsi"/>
              </w:rPr>
            </w:pPr>
          </w:p>
          <w:p w14:paraId="0B8B824A" w14:textId="77777777" w:rsidR="00E77434" w:rsidRPr="00A4042B" w:rsidRDefault="00E77434" w:rsidP="00E77434">
            <w:pPr>
              <w:ind w:hanging="15"/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Adobe Illustrator, Photoshop e </w:t>
            </w:r>
            <w:proofErr w:type="spellStart"/>
            <w:r w:rsidRPr="00A4042B">
              <w:rPr>
                <w:rFonts w:ascii="Book Antiqua" w:hAnsi="Book Antiqua" w:cstheme="majorHAnsi"/>
                <w:sz w:val="16"/>
                <w:szCs w:val="16"/>
              </w:rPr>
              <w:t>InDesign</w:t>
            </w:r>
            <w:proofErr w:type="spellEnd"/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. Conoscenza delle principali </w:t>
            </w:r>
            <w:proofErr w:type="spellStart"/>
            <w:r w:rsidRPr="00A4042B">
              <w:rPr>
                <w:rFonts w:ascii="Book Antiqua" w:hAnsi="Book Antiqua" w:cstheme="majorHAnsi"/>
                <w:sz w:val="16"/>
                <w:szCs w:val="16"/>
              </w:rPr>
              <w:t>shortcut</w:t>
            </w:r>
            <w:proofErr w:type="spellEnd"/>
            <w:r w:rsidRPr="00A4042B">
              <w:rPr>
                <w:rFonts w:ascii="Book Antiqua" w:hAnsi="Book Antiqua" w:cstheme="majorHAnsi"/>
                <w:sz w:val="16"/>
                <w:szCs w:val="16"/>
              </w:rPr>
              <w:t>.</w:t>
            </w:r>
          </w:p>
          <w:p w14:paraId="0211FE25" w14:textId="77777777" w:rsidR="00E77434" w:rsidRPr="00A4042B" w:rsidRDefault="00E77434" w:rsidP="00E77434">
            <w:pPr>
              <w:rPr>
                <w:rFonts w:ascii="Book Antiqua" w:hAnsi="Book Antiqua" w:cstheme="majorHAnsi"/>
                <w:i/>
                <w:i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i/>
                <w:iCs/>
                <w:sz w:val="16"/>
                <w:szCs w:val="16"/>
              </w:rPr>
              <w:t>Approfondimenti:</w:t>
            </w:r>
          </w:p>
          <w:p w14:paraId="074F79D5" w14:textId="77777777" w:rsidR="00E77434" w:rsidRPr="00A4042B" w:rsidRDefault="00E77434" w:rsidP="00E77434">
            <w:pPr>
              <w:rPr>
                <w:rFonts w:ascii="Book Antiqua" w:hAnsi="Book Antiqua" w:cstheme="majorHAnsi"/>
                <w:i/>
                <w:iCs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- Realizzazione e utilizzo corretto di una griglia progettuale, sui vari software.</w:t>
            </w:r>
          </w:p>
          <w:p w14:paraId="0F019030" w14:textId="77777777" w:rsidR="00E77434" w:rsidRPr="00A4042B" w:rsidRDefault="00E77434" w:rsidP="00E77434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- Realizzazione di un </w:t>
            </w:r>
            <w:proofErr w:type="spellStart"/>
            <w:r w:rsidRPr="00A4042B">
              <w:rPr>
                <w:rFonts w:ascii="Book Antiqua" w:hAnsi="Book Antiqua" w:cstheme="majorHAnsi"/>
                <w:sz w:val="16"/>
                <w:szCs w:val="16"/>
              </w:rPr>
              <w:t>mockup</w:t>
            </w:r>
            <w:proofErr w:type="spellEnd"/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 partendo da uno scatto fotografico. Elaborazione di immagini in Camera </w:t>
            </w:r>
            <w:proofErr w:type="spellStart"/>
            <w:r w:rsidRPr="00A4042B">
              <w:rPr>
                <w:rFonts w:ascii="Book Antiqua" w:hAnsi="Book Antiqua" w:cstheme="majorHAnsi"/>
                <w:sz w:val="16"/>
                <w:szCs w:val="16"/>
              </w:rPr>
              <w:t>Raw</w:t>
            </w:r>
            <w:proofErr w:type="spellEnd"/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. </w:t>
            </w:r>
          </w:p>
          <w:p w14:paraId="4A054790" w14:textId="77777777" w:rsidR="00E77434" w:rsidRPr="00A4042B" w:rsidRDefault="00E77434" w:rsidP="00E77434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 xml:space="preserve">- Definizione e gestione dei parametri necessari alla corretta esposizione e presentazione del prodotto. </w:t>
            </w:r>
          </w:p>
          <w:p w14:paraId="47972A81" w14:textId="77777777" w:rsidR="00E77434" w:rsidRPr="00A4042B" w:rsidRDefault="00E77434" w:rsidP="00E77434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- Applicazione di etichette su flaconi finalizzate alla presentazione dei prodotti.</w:t>
            </w:r>
          </w:p>
          <w:p w14:paraId="36E1B4BB" w14:textId="7324B062" w:rsidR="00F3738B" w:rsidRPr="00A4042B" w:rsidRDefault="00E77434" w:rsidP="00E77434">
            <w:pPr>
              <w:rPr>
                <w:rFonts w:ascii="Book Antiqua" w:hAnsi="Book Antiqua" w:cstheme="majorHAnsi"/>
                <w:sz w:val="16"/>
                <w:szCs w:val="16"/>
              </w:rPr>
            </w:pPr>
            <w:r w:rsidRPr="00A4042B">
              <w:rPr>
                <w:rFonts w:ascii="Book Antiqua" w:hAnsi="Book Antiqua" w:cstheme="majorHAnsi"/>
                <w:sz w:val="16"/>
                <w:szCs w:val="16"/>
              </w:rPr>
              <w:t>- Panoramica su Bridge.</w:t>
            </w:r>
          </w:p>
          <w:p w14:paraId="0BDF2BE0" w14:textId="77777777" w:rsidR="009C1226" w:rsidRPr="00A4042B" w:rsidRDefault="009C1226" w:rsidP="007457C5">
            <w:pPr>
              <w:jc w:val="center"/>
              <w:rPr>
                <w:rFonts w:ascii="Book Antiqua" w:hAnsi="Book Antiqua" w:cstheme="majorHAnsi"/>
              </w:rPr>
            </w:pPr>
          </w:p>
          <w:p w14:paraId="0BA2DDDC" w14:textId="77777777" w:rsidR="009C1226" w:rsidRPr="00A4042B" w:rsidRDefault="009C1226" w:rsidP="007457C5">
            <w:pPr>
              <w:jc w:val="center"/>
              <w:rPr>
                <w:rFonts w:ascii="Book Antiqua" w:hAnsi="Book Antiqua" w:cstheme="majorHAnsi"/>
              </w:rPr>
            </w:pPr>
          </w:p>
        </w:tc>
      </w:tr>
      <w:tr w:rsidR="00AE5257" w:rsidRPr="00A4042B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A4042B" w:rsidRDefault="00AE5257" w:rsidP="007457C5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6FF9D325" w14:textId="4EC24846" w:rsidR="00AE5257" w:rsidRPr="00A4042B" w:rsidRDefault="008B1194" w:rsidP="00441664">
            <w:pPr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Lezione frontale, brainstorming, lezione segmentata, </w:t>
            </w:r>
            <w:r w:rsidR="0009013C" w:rsidRPr="00A4042B">
              <w:rPr>
                <w:rFonts w:ascii="Book Antiqua" w:hAnsi="Book Antiqua" w:cstheme="majorHAnsi"/>
                <w:sz w:val="20"/>
                <w:szCs w:val="20"/>
              </w:rPr>
              <w:t>attività laboratoriali individuali e di gruppo</w:t>
            </w:r>
            <w:r w:rsidR="00441664" w:rsidRPr="00A4042B">
              <w:rPr>
                <w:rFonts w:ascii="Book Antiqua" w:hAnsi="Book Antiqua" w:cstheme="majorHAnsi"/>
                <w:sz w:val="20"/>
                <w:szCs w:val="20"/>
              </w:rPr>
              <w:t>, cooperative learning.</w:t>
            </w:r>
          </w:p>
          <w:p w14:paraId="5E263198" w14:textId="77777777" w:rsidR="00AE5257" w:rsidRPr="00A4042B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A4042B" w14:paraId="761C124E" w14:textId="77777777" w:rsidTr="00155FA5">
        <w:tc>
          <w:tcPr>
            <w:tcW w:w="9628" w:type="dxa"/>
            <w:gridSpan w:val="2"/>
          </w:tcPr>
          <w:p w14:paraId="6F7A36D3" w14:textId="16C8B039" w:rsidR="00AE5257" w:rsidRPr="00A4042B" w:rsidRDefault="009C1226" w:rsidP="007457C5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Verifiche</w:t>
            </w:r>
          </w:p>
          <w:p w14:paraId="684E29D5" w14:textId="77777777" w:rsidR="00E44DCB" w:rsidRPr="00A4042B" w:rsidRDefault="00E44DCB" w:rsidP="00E44DCB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Verifiche orali, presentazioni orali, prove pratiche (compiti di realtà), verifiche scritte </w:t>
            </w:r>
            <w:proofErr w:type="spellStart"/>
            <w:r w:rsidRPr="00A4042B">
              <w:rPr>
                <w:rFonts w:ascii="Book Antiqua" w:hAnsi="Book Antiqua" w:cstheme="majorHAnsi"/>
                <w:sz w:val="20"/>
                <w:szCs w:val="20"/>
              </w:rPr>
              <w:t>semistrutturate</w:t>
            </w:r>
            <w:proofErr w:type="spellEnd"/>
            <w:r w:rsidRPr="00A4042B">
              <w:rPr>
                <w:rFonts w:ascii="Book Antiqua" w:hAnsi="Book Antiqua" w:cstheme="majorHAnsi"/>
                <w:sz w:val="20"/>
                <w:szCs w:val="20"/>
              </w:rPr>
              <w:t>.</w:t>
            </w:r>
          </w:p>
          <w:p w14:paraId="12C5490B" w14:textId="358FE00C" w:rsidR="001D1E27" w:rsidRPr="00A4042B" w:rsidRDefault="001D1E27" w:rsidP="007457C5">
            <w:pPr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/>
              </w:rPr>
              <w:t>Criteri di valutazione</w:t>
            </w:r>
          </w:p>
          <w:p w14:paraId="21849385" w14:textId="31AF6CE3" w:rsidR="00AE5257" w:rsidRPr="00A4042B" w:rsidRDefault="00E44DCB" w:rsidP="00B92C9C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Chiarezza espositiva e corretto utilizzo del linguaggio settoriale. </w:t>
            </w:r>
            <w:r w:rsidR="00B92C9C" w:rsidRPr="00A4042B">
              <w:rPr>
                <w:rFonts w:ascii="Book Antiqua" w:hAnsi="Book Antiqua" w:cstheme="majorHAnsi"/>
                <w:sz w:val="20"/>
                <w:szCs w:val="20"/>
              </w:rPr>
              <w:t xml:space="preserve">Padronanza delle conoscenze disciplinari. </w:t>
            </w: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Autonomia nell’affrontare le fasi del processo progettuale. Padronanza nell’uso dei software di settore. Capacità di </w:t>
            </w:r>
            <w:proofErr w:type="spellStart"/>
            <w:r w:rsidRPr="00A4042B">
              <w:rPr>
                <w:rFonts w:ascii="Book Antiqua" w:hAnsi="Book Antiqua" w:cstheme="majorHAnsi"/>
                <w:sz w:val="20"/>
                <w:szCs w:val="20"/>
              </w:rPr>
              <w:t>problem</w:t>
            </w:r>
            <w:proofErr w:type="spellEnd"/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 solving in contesti operativi. Capacità di argomentare le scelte progettuali in forma scritta e orale, valutando l’impatto etico e sociale dei messaggi prodotti.</w:t>
            </w:r>
            <w:r w:rsidR="00B92C9C" w:rsidRPr="00A4042B">
              <w:rPr>
                <w:rFonts w:ascii="Book Antiqua" w:hAnsi="Book Antiqua"/>
              </w:rPr>
              <w:t xml:space="preserve"> </w:t>
            </w:r>
            <w:r w:rsidR="00B92C9C" w:rsidRPr="00A4042B">
              <w:rPr>
                <w:rFonts w:ascii="Book Antiqua" w:hAnsi="Book Antiqua" w:cstheme="majorHAnsi"/>
                <w:sz w:val="20"/>
                <w:szCs w:val="20"/>
              </w:rPr>
              <w:t>Capacità di ideare un concept comunicativo coerente con la copy strategy, sviluppando un layout distintivo e adattabile a diversi media.</w:t>
            </w:r>
          </w:p>
        </w:tc>
      </w:tr>
      <w:tr w:rsidR="003B52EA" w:rsidRPr="00A4042B" w14:paraId="13B26B2F" w14:textId="77777777" w:rsidTr="00155FA5">
        <w:tc>
          <w:tcPr>
            <w:tcW w:w="9628" w:type="dxa"/>
            <w:gridSpan w:val="2"/>
          </w:tcPr>
          <w:p w14:paraId="2DF734FF" w14:textId="41C3F36B" w:rsidR="003B52EA" w:rsidRPr="00A4042B" w:rsidRDefault="003B52EA" w:rsidP="00107FA5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/>
              </w:rPr>
              <w:t>Materiali/Strumenti dottati</w:t>
            </w:r>
          </w:p>
          <w:p w14:paraId="44D80702" w14:textId="377CF1B9" w:rsidR="00107FA5" w:rsidRPr="00A4042B" w:rsidRDefault="00DF2DEF" w:rsidP="00107FA5">
            <w:pPr>
              <w:pStyle w:val="TableParagraph"/>
              <w:spacing w:line="240" w:lineRule="auto"/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 xml:space="preserve">Libri di testo, </w:t>
            </w:r>
            <w:r w:rsidR="00107FA5" w:rsidRPr="00A4042B">
              <w:rPr>
                <w:rFonts w:ascii="Book Antiqua" w:hAnsi="Book Antiqua" w:cstheme="majorHAnsi"/>
                <w:sz w:val="20"/>
                <w:szCs w:val="20"/>
              </w:rPr>
              <w:t>iMac, software di settore, tavoletta grafica, stampanti e scanner.</w:t>
            </w:r>
          </w:p>
          <w:p w14:paraId="2E91ADD2" w14:textId="77777777" w:rsidR="00107FA5" w:rsidRPr="00A4042B" w:rsidRDefault="00107FA5" w:rsidP="00107FA5">
            <w:pPr>
              <w:pStyle w:val="TableParagraph"/>
              <w:spacing w:line="240" w:lineRule="auto"/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Piattaforme di apprendimento virtuale per la condivisione dei materiali.</w:t>
            </w:r>
          </w:p>
          <w:p w14:paraId="71C7A92F" w14:textId="25C61FD1" w:rsidR="003B52EA" w:rsidRPr="00A4042B" w:rsidRDefault="00107FA5" w:rsidP="00107FA5">
            <w:pPr>
              <w:jc w:val="center"/>
              <w:rPr>
                <w:rFonts w:ascii="Book Antiqua" w:hAnsi="Book Antiqua"/>
              </w:rPr>
            </w:pPr>
            <w:r w:rsidRPr="00A4042B">
              <w:rPr>
                <w:rFonts w:ascii="Book Antiqua" w:hAnsi="Book Antiqua" w:cstheme="majorHAnsi"/>
                <w:sz w:val="20"/>
                <w:szCs w:val="20"/>
              </w:rPr>
              <w:t>Dot paper e strumenti da disegno.</w:t>
            </w:r>
          </w:p>
        </w:tc>
      </w:tr>
    </w:tbl>
    <w:p w14:paraId="3EC6AE56" w14:textId="77777777" w:rsidR="007457C5" w:rsidRPr="00A4042B" w:rsidRDefault="007457C5" w:rsidP="007457C5">
      <w:pPr>
        <w:jc w:val="center"/>
        <w:rPr>
          <w:rFonts w:ascii="Book Antiqua" w:hAnsi="Book Antiqua"/>
        </w:rPr>
      </w:pPr>
    </w:p>
    <w:sectPr w:rsidR="007457C5" w:rsidRPr="00A4042B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8223E" w14:textId="77777777" w:rsidR="004E452A" w:rsidRDefault="004E452A" w:rsidP="007457C5">
      <w:pPr>
        <w:spacing w:after="0" w:line="240" w:lineRule="auto"/>
      </w:pPr>
      <w:r>
        <w:separator/>
      </w:r>
    </w:p>
  </w:endnote>
  <w:endnote w:type="continuationSeparator" w:id="0">
    <w:p w14:paraId="11112501" w14:textId="77777777" w:rsidR="004E452A" w:rsidRDefault="004E452A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700">
    <w:charset w:val="4D"/>
    <w:family w:val="auto"/>
    <w:pitch w:val="variable"/>
    <w:sig w:usb0="A00000AF" w:usb1="4000004A" w:usb2="00000000" w:usb3="00000000" w:csb0="00000093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2CAF5" w14:textId="77777777" w:rsidR="004E452A" w:rsidRDefault="004E452A" w:rsidP="007457C5">
      <w:pPr>
        <w:spacing w:after="0" w:line="240" w:lineRule="auto"/>
      </w:pPr>
      <w:r>
        <w:separator/>
      </w:r>
    </w:p>
  </w:footnote>
  <w:footnote w:type="continuationSeparator" w:id="0">
    <w:p w14:paraId="1B2A67CC" w14:textId="77777777" w:rsidR="004E452A" w:rsidRDefault="004E452A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E7138"/>
    <w:multiLevelType w:val="hybridMultilevel"/>
    <w:tmpl w:val="58AE84B2"/>
    <w:lvl w:ilvl="0" w:tplc="14042D12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num w:numId="1" w16cid:durableId="201491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1460A"/>
    <w:rsid w:val="00030CA0"/>
    <w:rsid w:val="00065808"/>
    <w:rsid w:val="0009013C"/>
    <w:rsid w:val="00107FA5"/>
    <w:rsid w:val="0013174C"/>
    <w:rsid w:val="00184477"/>
    <w:rsid w:val="001D1E27"/>
    <w:rsid w:val="001F0666"/>
    <w:rsid w:val="00203C43"/>
    <w:rsid w:val="002F3B01"/>
    <w:rsid w:val="00312A26"/>
    <w:rsid w:val="0039298D"/>
    <w:rsid w:val="0039641C"/>
    <w:rsid w:val="003B52EA"/>
    <w:rsid w:val="0041542B"/>
    <w:rsid w:val="00441664"/>
    <w:rsid w:val="00465323"/>
    <w:rsid w:val="004744D8"/>
    <w:rsid w:val="00482693"/>
    <w:rsid w:val="004D2DB9"/>
    <w:rsid w:val="004E452A"/>
    <w:rsid w:val="00570CCA"/>
    <w:rsid w:val="005E7979"/>
    <w:rsid w:val="00623647"/>
    <w:rsid w:val="006253CE"/>
    <w:rsid w:val="00634E83"/>
    <w:rsid w:val="006A286E"/>
    <w:rsid w:val="006B7147"/>
    <w:rsid w:val="00701DC5"/>
    <w:rsid w:val="007457C5"/>
    <w:rsid w:val="0078595C"/>
    <w:rsid w:val="00796017"/>
    <w:rsid w:val="007B3C44"/>
    <w:rsid w:val="007B4214"/>
    <w:rsid w:val="00816A09"/>
    <w:rsid w:val="00847BD4"/>
    <w:rsid w:val="00872D20"/>
    <w:rsid w:val="008B1194"/>
    <w:rsid w:val="009144BD"/>
    <w:rsid w:val="009C1226"/>
    <w:rsid w:val="009C4A6C"/>
    <w:rsid w:val="00A4042B"/>
    <w:rsid w:val="00A84307"/>
    <w:rsid w:val="00AE5257"/>
    <w:rsid w:val="00AF7A97"/>
    <w:rsid w:val="00B13D6E"/>
    <w:rsid w:val="00B92C9C"/>
    <w:rsid w:val="00BA48E0"/>
    <w:rsid w:val="00CD358A"/>
    <w:rsid w:val="00D165C7"/>
    <w:rsid w:val="00D43E48"/>
    <w:rsid w:val="00DE146D"/>
    <w:rsid w:val="00DF2DEF"/>
    <w:rsid w:val="00E44DCB"/>
    <w:rsid w:val="00E514A3"/>
    <w:rsid w:val="00E77434"/>
    <w:rsid w:val="00F225C9"/>
    <w:rsid w:val="00F3738B"/>
    <w:rsid w:val="00F6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customStyle="1" w:styleId="TableParagraph">
    <w:name w:val="Table Paragraph"/>
    <w:basedOn w:val="Normale"/>
    <w:uiPriority w:val="1"/>
    <w:qFormat/>
    <w:rsid w:val="00107FA5"/>
    <w:pPr>
      <w:widowControl w:val="0"/>
      <w:autoSpaceDE w:val="0"/>
      <w:autoSpaceDN w:val="0"/>
      <w:spacing w:after="0" w:line="210" w:lineRule="exact"/>
    </w:pPr>
    <w:rPr>
      <w:rFonts w:ascii="Cambria" w:eastAsia="Cambria" w:hAnsi="Cambria" w:cs="Cambria"/>
    </w:rPr>
  </w:style>
  <w:style w:type="paragraph" w:customStyle="1" w:styleId="Default">
    <w:name w:val="Default"/>
    <w:rsid w:val="004744D8"/>
    <w:pPr>
      <w:autoSpaceDE w:val="0"/>
      <w:autoSpaceDN w:val="0"/>
      <w:adjustRightInd w:val="0"/>
      <w:spacing w:after="0" w:line="240" w:lineRule="auto"/>
    </w:pPr>
    <w:rPr>
      <w:rFonts w:ascii="Museo Sans 700" w:hAnsi="Museo Sans 700" w:cs="Museo Sans 700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901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2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14</cp:revision>
  <dcterms:created xsi:type="dcterms:W3CDTF">2021-04-13T15:57:00Z</dcterms:created>
  <dcterms:modified xsi:type="dcterms:W3CDTF">2025-05-13T17:52:00Z</dcterms:modified>
</cp:coreProperties>
</file>